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sz w:val="44"/>
        </w:rPr>
        <w:t>Incident Response Plan</w:t>
      </w:r>
    </w:p>
    <w:p>
      <w:pPr>
        <w:spacing w:after="280"/>
      </w:pPr>
      <w:r>
        <w:rPr>
          <w:rFonts w:ascii="Calibri" w:hAnsi="Calibri"/>
          <w:i/>
          <w:sz w:val="22"/>
        </w:rPr>
        <w:t>For: ____________________________    Reviewed: ______________</w:t>
      </w:r>
    </w:p>
    <w:p>
      <w:pPr>
        <w:spacing w:before="240" w:after="80"/>
      </w:pPr>
      <w:r>
        <w:rPr>
          <w:rFonts w:ascii="Arial" w:hAnsi="Arial"/>
          <w:b/>
          <w:sz w:val="26"/>
        </w:rPr>
        <w:t>1. Roles and contacts</w:t>
      </w:r>
    </w:p>
    <w:p>
      <w:pPr>
        <w:pStyle w:val="ListBullet"/>
        <w:spacing w:after="60"/>
      </w:pPr>
      <w:r>
        <w:rPr>
          <w:rFonts w:ascii="Calibri" w:hAnsi="Calibri"/>
          <w:sz w:val="21"/>
        </w:rPr>
        <w:t>Incident lead: ____________________________   Phone: ______________</w:t>
      </w:r>
    </w:p>
    <w:p>
      <w:pPr>
        <w:pStyle w:val="ListBullet"/>
        <w:spacing w:after="60"/>
      </w:pPr>
      <w:r>
        <w:rPr>
          <w:rFonts w:ascii="Calibri" w:hAnsi="Calibri"/>
          <w:sz w:val="21"/>
        </w:rPr>
        <w:t>IT or systems support: ____________________________   Phone: ______________</w:t>
      </w:r>
    </w:p>
    <w:p>
      <w:pPr>
        <w:pStyle w:val="ListBullet"/>
        <w:spacing w:after="60"/>
      </w:pPr>
      <w:r>
        <w:rPr>
          <w:rFonts w:ascii="Calibri" w:hAnsi="Calibri"/>
          <w:sz w:val="21"/>
        </w:rPr>
        <w:t>Insurance carrier: ____________________________   Policy #: ______________   Phone: ______________</w:t>
      </w:r>
    </w:p>
    <w:p>
      <w:pPr>
        <w:pStyle w:val="ListBullet"/>
        <w:spacing w:after="60"/>
      </w:pPr>
      <w:r>
        <w:rPr>
          <w:rFonts w:ascii="Calibri" w:hAnsi="Calibri"/>
          <w:sz w:val="21"/>
        </w:rPr>
        <w:t>Bank or payments provider: ____________________________   Phone: ______________</w:t>
      </w:r>
    </w:p>
    <w:p>
      <w:pPr>
        <w:pStyle w:val="ListBullet"/>
        <w:spacing w:after="60"/>
      </w:pPr>
      <w:r>
        <w:rPr>
          <w:rFonts w:ascii="Calibri" w:hAnsi="Calibri"/>
          <w:sz w:val="21"/>
        </w:rPr>
        <w:t>Legal counsel: ____________________________   Phone: ______________</w:t>
      </w:r>
    </w:p>
    <w:p>
      <w:pPr>
        <w:pStyle w:val="ListBullet"/>
        <w:spacing w:after="60"/>
      </w:pPr>
      <w:r>
        <w:rPr>
          <w:rFonts w:ascii="Calibri" w:hAnsi="Calibri"/>
          <w:sz w:val="21"/>
        </w:rPr>
        <w:t>Local law enforcement, non-emergency line: ______________</w:t>
      </w:r>
    </w:p>
    <w:p>
      <w:pPr>
        <w:spacing w:before="240" w:after="80"/>
      </w:pPr>
      <w:r>
        <w:rPr>
          <w:rFonts w:ascii="Arial" w:hAnsi="Arial"/>
          <w:b/>
          <w:sz w:val="26"/>
        </w:rPr>
        <w:t>2. What counts as an incident</w:t>
      </w:r>
    </w:p>
    <w:p>
      <w:pPr>
        <w:pStyle w:val="ListBullet"/>
        <w:spacing w:after="60"/>
      </w:pPr>
      <w:r>
        <w:rPr>
          <w:rFonts w:ascii="Calibri" w:hAnsi="Calibri"/>
          <w:sz w:val="21"/>
        </w:rPr>
        <w:t>A system that is locked, encrypted or held for ransom</w:t>
      </w:r>
    </w:p>
    <w:p>
      <w:pPr>
        <w:pStyle w:val="ListBullet"/>
        <w:spacing w:after="60"/>
      </w:pPr>
      <w:r>
        <w:rPr>
          <w:rFonts w:ascii="Calibri" w:hAnsi="Calibri"/>
          <w:sz w:val="21"/>
        </w:rPr>
        <w:t>A lost or stolen device that had company data on it</w:t>
      </w:r>
    </w:p>
    <w:p>
      <w:pPr>
        <w:pStyle w:val="ListBullet"/>
        <w:spacing w:after="60"/>
      </w:pPr>
      <w:r>
        <w:rPr>
          <w:rFonts w:ascii="Calibri" w:hAnsi="Calibri"/>
          <w:sz w:val="21"/>
        </w:rPr>
        <w:t>A payment sent to the wrong account after a suspicious email</w:t>
      </w:r>
    </w:p>
    <w:p>
      <w:pPr>
        <w:pStyle w:val="ListBullet"/>
        <w:spacing w:after="60"/>
      </w:pPr>
      <w:r>
        <w:rPr>
          <w:rFonts w:ascii="Calibri" w:hAnsi="Calibri"/>
          <w:sz w:val="21"/>
        </w:rPr>
        <w:t>A login alert from a device or location nobody recognizes</w:t>
      </w:r>
    </w:p>
    <w:p>
      <w:pPr>
        <w:pStyle w:val="ListBullet"/>
        <w:spacing w:after="60"/>
      </w:pPr>
      <w:r>
        <w:rPr>
          <w:rFonts w:ascii="Calibri" w:hAnsi="Calibri"/>
          <w:sz w:val="21"/>
        </w:rPr>
        <w:t>A customer or vendor reporting their data showed up somewhere it should not</w:t>
      </w:r>
    </w:p>
    <w:p>
      <w:pPr>
        <w:pStyle w:val="ListBullet"/>
        <w:spacing w:after="60"/>
      </w:pPr>
      <w:r>
        <w:rPr>
          <w:rFonts w:ascii="Calibri" w:hAnsi="Calibri"/>
          <w:sz w:val="21"/>
        </w:rPr>
        <w:t>Anything that looks like a breach, even if you are not sure</w:t>
      </w:r>
    </w:p>
    <w:p>
      <w:pPr>
        <w:spacing w:before="240" w:after="80"/>
      </w:pPr>
      <w:r>
        <w:rPr>
          <w:rFonts w:ascii="Arial" w:hAnsi="Arial"/>
          <w:b/>
          <w:sz w:val="26"/>
        </w:rPr>
        <w:t>3. First hour checklist</w:t>
      </w:r>
    </w:p>
    <w:p>
      <w:pPr>
        <w:pStyle w:val="ListNumber"/>
        <w:spacing w:after="60"/>
      </w:pPr>
      <w:r>
        <w:rPr>
          <w:rFonts w:ascii="Calibri" w:hAnsi="Calibri"/>
          <w:sz w:val="21"/>
        </w:rPr>
        <w:t>Confirm it is real, not a false alarm.</w:t>
      </w:r>
    </w:p>
    <w:p>
      <w:pPr>
        <w:pStyle w:val="ListNumber"/>
        <w:spacing w:after="60"/>
      </w:pPr>
      <w:r>
        <w:rPr>
          <w:rFonts w:ascii="Calibri" w:hAnsi="Calibri"/>
          <w:sz w:val="21"/>
        </w:rPr>
        <w:t>Disconnect the affected device from the network. Do not turn it off.</w:t>
      </w:r>
    </w:p>
    <w:p>
      <w:pPr>
        <w:pStyle w:val="ListNumber"/>
        <w:spacing w:after="60"/>
      </w:pPr>
      <w:r>
        <w:rPr>
          <w:rFonts w:ascii="Calibri" w:hAnsi="Calibri"/>
          <w:sz w:val="21"/>
        </w:rPr>
        <w:t>Tell the incident lead.</w:t>
      </w:r>
    </w:p>
    <w:p>
      <w:pPr>
        <w:pStyle w:val="ListNumber"/>
        <w:spacing w:after="60"/>
      </w:pPr>
      <w:r>
        <w:rPr>
          <w:rFonts w:ascii="Calibri" w:hAnsi="Calibri"/>
          <w:sz w:val="21"/>
        </w:rPr>
        <w:t>Write down what happened and when, while it is fresh.</w:t>
      </w:r>
    </w:p>
    <w:p>
      <w:pPr>
        <w:pStyle w:val="ListNumber"/>
        <w:spacing w:after="60"/>
      </w:pPr>
      <w:r>
        <w:rPr>
          <w:rFonts w:ascii="Calibri" w:hAnsi="Calibri"/>
          <w:sz w:val="21"/>
        </w:rPr>
        <w:t>Do not pay anything or reply to the sender yet.</w:t>
      </w:r>
    </w:p>
    <w:p>
      <w:pPr>
        <w:spacing w:before="240" w:after="80"/>
      </w:pPr>
      <w:r>
        <w:rPr>
          <w:rFonts w:ascii="Arial" w:hAnsi="Arial"/>
          <w:b/>
          <w:sz w:val="26"/>
        </w:rPr>
        <w:t>4. Containment</w:t>
      </w:r>
    </w:p>
    <w:p>
      <w:pPr>
        <w:pStyle w:val="ListBullet"/>
        <w:spacing w:after="60"/>
      </w:pPr>
      <w:r>
        <w:rPr>
          <w:rFonts w:ascii="Calibri" w:hAnsi="Calibri"/>
          <w:sz w:val="21"/>
        </w:rPr>
        <w:t>Change passwords for any account that may be compromised, starting with email and banking</w:t>
      </w:r>
    </w:p>
    <w:p>
      <w:pPr>
        <w:pStyle w:val="ListBullet"/>
        <w:spacing w:after="60"/>
      </w:pPr>
      <w:r>
        <w:rPr>
          <w:rFonts w:ascii="Calibri" w:hAnsi="Calibri"/>
          <w:sz w:val="21"/>
        </w:rPr>
        <w:t>Turn on two factor authentication everywhere it is not already on</w:t>
      </w:r>
    </w:p>
    <w:p>
      <w:pPr>
        <w:pStyle w:val="ListBullet"/>
        <w:spacing w:after="60"/>
      </w:pPr>
      <w:r>
        <w:rPr>
          <w:rFonts w:ascii="Calibri" w:hAnsi="Calibri"/>
          <w:sz w:val="21"/>
        </w:rPr>
        <w:t>Revoke access for any device or account you are not sure about</w:t>
      </w:r>
    </w:p>
    <w:p>
      <w:pPr>
        <w:spacing w:before="240" w:after="80"/>
      </w:pPr>
      <w:r>
        <w:rPr>
          <w:rFonts w:ascii="Arial" w:hAnsi="Arial"/>
          <w:b/>
          <w:sz w:val="26"/>
        </w:rPr>
        <w:t>5. Who to call, and in what order</w:t>
      </w:r>
    </w:p>
    <w:p>
      <w:pPr>
        <w:pStyle w:val="ListNumber"/>
        <w:spacing w:after="60"/>
      </w:pPr>
      <w:r>
        <w:rPr>
          <w:rFonts w:ascii="Calibri" w:hAnsi="Calibri"/>
          <w:sz w:val="21"/>
        </w:rPr>
        <w:t>IT or systems support, to contain it</w:t>
      </w:r>
    </w:p>
    <w:p>
      <w:pPr>
        <w:pStyle w:val="ListNumber"/>
        <w:spacing w:after="60"/>
      </w:pPr>
      <w:r>
        <w:rPr>
          <w:rFonts w:ascii="Calibri" w:hAnsi="Calibri"/>
          <w:sz w:val="21"/>
        </w:rPr>
        <w:t>Insurance carrier. Many policies require notice within a set number of days</w:t>
      </w:r>
    </w:p>
    <w:p>
      <w:pPr>
        <w:pStyle w:val="ListNumber"/>
        <w:spacing w:after="60"/>
      </w:pPr>
      <w:r>
        <w:rPr>
          <w:rFonts w:ascii="Calibri" w:hAnsi="Calibri"/>
          <w:sz w:val="21"/>
        </w:rPr>
        <w:t>Bank or payments provider, if money moved</w:t>
      </w:r>
    </w:p>
    <w:p>
      <w:pPr>
        <w:pStyle w:val="ListNumber"/>
        <w:spacing w:after="60"/>
      </w:pPr>
      <w:r>
        <w:rPr>
          <w:rFonts w:ascii="Calibri" w:hAnsi="Calibri"/>
          <w:sz w:val="21"/>
        </w:rPr>
        <w:t>Legal counsel, if customer or employee data may be involved</w:t>
      </w:r>
    </w:p>
    <w:p>
      <w:pPr>
        <w:pStyle w:val="ListNumber"/>
        <w:spacing w:after="60"/>
      </w:pPr>
      <w:r>
        <w:rPr>
          <w:rFonts w:ascii="Calibri" w:hAnsi="Calibri"/>
          <w:sz w:val="21"/>
        </w:rPr>
        <w:t>Law enforcement, if a crime occurred</w:t>
      </w:r>
    </w:p>
    <w:p>
      <w:pPr>
        <w:spacing w:before="240" w:after="80"/>
      </w:pPr>
      <w:r>
        <w:rPr>
          <w:rFonts w:ascii="Arial" w:hAnsi="Arial"/>
          <w:b/>
          <w:sz w:val="26"/>
        </w:rPr>
        <w:t>6. Communication</w:t>
      </w:r>
    </w:p>
    <w:p>
      <w:pPr>
        <w:spacing w:after="120"/>
      </w:pPr>
      <w:r>
        <w:rPr>
          <w:rFonts w:ascii="Calibri" w:hAnsi="Calibri"/>
          <w:sz w:val="21"/>
        </w:rPr>
        <w:t>____________________________ is the single point of contact for anything said to customers, employees or the press. Nobody else speaks on the record about the incident until legal counsel has weighed in.</w:t>
      </w:r>
    </w:p>
    <w:p>
      <w:pPr>
        <w:spacing w:before="240" w:after="80"/>
      </w:pPr>
      <w:r>
        <w:rPr>
          <w:rFonts w:ascii="Arial" w:hAnsi="Arial"/>
          <w:b/>
          <w:sz w:val="26"/>
        </w:rPr>
        <w:t>7. Recovery</w:t>
      </w:r>
    </w:p>
    <w:p>
      <w:pPr>
        <w:spacing w:after="120"/>
      </w:pPr>
      <w:r>
        <w:rPr>
          <w:rFonts w:ascii="Calibri" w:hAnsi="Calibri"/>
          <w:sz w:val="21"/>
        </w:rPr>
        <w:t>Restore from backup, and confirm the system is clean before reconnecting it. Reset credentials for every account that was touched, and check financial accounts for unfamiliar activity before closing this out.</w:t>
      </w:r>
    </w:p>
    <w:p>
      <w:pPr>
        <w:spacing w:before="240" w:after="80"/>
      </w:pPr>
      <w:r>
        <w:rPr>
          <w:rFonts w:ascii="Arial" w:hAnsi="Arial"/>
          <w:b/>
          <w:sz w:val="26"/>
        </w:rPr>
        <w:t>8. After-action review</w:t>
      </w:r>
    </w:p>
    <w:p>
      <w:pPr>
        <w:spacing w:after="120"/>
      </w:pPr>
      <w:r>
        <w:rPr>
          <w:rFonts w:ascii="Calibri" w:hAnsi="Calibri"/>
          <w:sz w:val="21"/>
        </w:rPr>
        <w:t>Within ______________ days of any incident, meet to review what happened, what worked, and what changes in this plan as a result.</w:t>
      </w:r>
    </w:p>
    <w:p>
      <w:pPr>
        <w:spacing w:before="240" w:after="80"/>
      </w:pPr>
      <w:r>
        <w:rPr>
          <w:rFonts w:ascii="Arial" w:hAnsi="Arial"/>
          <w:b/>
          <w:sz w:val="26"/>
        </w:rPr>
        <w:t>9. Sign-off</w:t>
      </w:r>
    </w:p>
    <w:p>
      <w:pPr>
        <w:spacing w:after="120"/>
      </w:pPr>
      <w:r>
        <w:rPr>
          <w:rFonts w:ascii="Calibri" w:hAnsi="Calibri"/>
          <w:sz w:val="21"/>
        </w:rPr>
        <w:t>Reviewed by: ____________________________    Date: ______________</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i/>
        <w:sz w:val="17"/>
      </w:rPr>
      <w:t>Adapted from a template by Satsuma, satsumahq.com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